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8A" w:rsidRPr="002B2F8A" w:rsidRDefault="002B2F8A" w:rsidP="00AC727E">
      <w:pPr>
        <w:spacing w:after="0" w:line="240" w:lineRule="auto"/>
        <w:ind w:left="-567" w:right="-518"/>
        <w:jc w:val="center"/>
        <w:rPr>
          <w:rFonts w:ascii="Garamond" w:hAnsi="Garamond" w:cs="Arial"/>
          <w:b/>
          <w:sz w:val="24"/>
          <w:szCs w:val="24"/>
        </w:rPr>
      </w:pPr>
      <w:r w:rsidRPr="002B2F8A">
        <w:rPr>
          <w:rFonts w:ascii="Garamond" w:hAnsi="Garamond" w:cs="Arial"/>
          <w:b/>
          <w:sz w:val="24"/>
          <w:szCs w:val="24"/>
        </w:rPr>
        <w:t xml:space="preserve">Universidad Central </w:t>
      </w:r>
      <w:r>
        <w:rPr>
          <w:rFonts w:ascii="Garamond" w:hAnsi="Garamond" w:cs="Arial"/>
          <w:b/>
          <w:sz w:val="24"/>
          <w:szCs w:val="24"/>
        </w:rPr>
        <w:t>d</w:t>
      </w:r>
      <w:r w:rsidRPr="002B2F8A">
        <w:rPr>
          <w:rFonts w:ascii="Garamond" w:hAnsi="Garamond" w:cs="Arial"/>
          <w:b/>
          <w:sz w:val="24"/>
          <w:szCs w:val="24"/>
        </w:rPr>
        <w:t>e Venezuela</w:t>
      </w:r>
    </w:p>
    <w:p w:rsidR="002B2F8A" w:rsidRPr="002B2F8A" w:rsidRDefault="002B2F8A" w:rsidP="00AC727E">
      <w:pPr>
        <w:spacing w:after="0" w:line="240" w:lineRule="auto"/>
        <w:ind w:left="-567" w:right="-518"/>
        <w:jc w:val="center"/>
        <w:rPr>
          <w:rFonts w:ascii="Garamond" w:hAnsi="Garamond" w:cs="Arial"/>
          <w:b/>
          <w:sz w:val="24"/>
          <w:szCs w:val="24"/>
        </w:rPr>
      </w:pPr>
      <w:r w:rsidRPr="002B2F8A">
        <w:rPr>
          <w:rFonts w:ascii="Garamond" w:hAnsi="Garamond" w:cs="Arial"/>
          <w:b/>
          <w:sz w:val="24"/>
          <w:szCs w:val="24"/>
        </w:rPr>
        <w:t xml:space="preserve">Facultad </w:t>
      </w:r>
      <w:r w:rsidR="00AC727E">
        <w:rPr>
          <w:rFonts w:ascii="Garamond" w:hAnsi="Garamond" w:cs="Arial"/>
          <w:b/>
          <w:sz w:val="24"/>
          <w:szCs w:val="24"/>
        </w:rPr>
        <w:t>d</w:t>
      </w:r>
      <w:r w:rsidRPr="002B2F8A">
        <w:rPr>
          <w:rFonts w:ascii="Garamond" w:hAnsi="Garamond" w:cs="Arial"/>
          <w:b/>
          <w:sz w:val="24"/>
          <w:szCs w:val="24"/>
        </w:rPr>
        <w:t>e Agronomía</w:t>
      </w:r>
    </w:p>
    <w:p w:rsidR="002B2F8A" w:rsidRPr="002B2F8A" w:rsidRDefault="002B2F8A" w:rsidP="00AC727E">
      <w:pPr>
        <w:spacing w:after="0" w:line="240" w:lineRule="auto"/>
        <w:ind w:left="-567" w:right="-518"/>
        <w:jc w:val="center"/>
        <w:rPr>
          <w:rFonts w:ascii="Garamond" w:hAnsi="Garamond" w:cs="Arial"/>
          <w:b/>
          <w:sz w:val="24"/>
          <w:szCs w:val="24"/>
        </w:rPr>
      </w:pPr>
      <w:r w:rsidRPr="002B2F8A">
        <w:rPr>
          <w:rFonts w:ascii="Garamond" w:hAnsi="Garamond" w:cs="Arial"/>
          <w:b/>
          <w:sz w:val="24"/>
          <w:szCs w:val="24"/>
        </w:rPr>
        <w:t>Departamento de Producción Animal</w:t>
      </w:r>
    </w:p>
    <w:p w:rsidR="002B2F8A" w:rsidRPr="002B2F8A" w:rsidRDefault="002B2F8A" w:rsidP="00AC727E">
      <w:pPr>
        <w:spacing w:after="0" w:line="240" w:lineRule="auto"/>
        <w:ind w:left="-567" w:right="-518"/>
        <w:jc w:val="center"/>
        <w:rPr>
          <w:rFonts w:ascii="Garamond" w:hAnsi="Garamond" w:cs="Arial"/>
          <w:sz w:val="24"/>
          <w:szCs w:val="24"/>
        </w:rPr>
      </w:pPr>
      <w:r w:rsidRPr="002B2F8A">
        <w:rPr>
          <w:rFonts w:ascii="Garamond" w:hAnsi="Garamond" w:cs="Arial"/>
          <w:b/>
          <w:sz w:val="24"/>
          <w:szCs w:val="24"/>
        </w:rPr>
        <w:t>Cátedra Fundamentos de  Producción Animal I</w:t>
      </w:r>
    </w:p>
    <w:p w:rsidR="002B2F8A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</w:rPr>
      </w:pPr>
    </w:p>
    <w:p w:rsidR="002B2F8A" w:rsidRPr="002B2F8A" w:rsidRDefault="002B2F8A" w:rsidP="00AC727E">
      <w:pPr>
        <w:spacing w:after="0" w:line="240" w:lineRule="auto"/>
        <w:ind w:left="-567" w:right="-518"/>
        <w:jc w:val="center"/>
        <w:rPr>
          <w:rFonts w:ascii="Garamond" w:hAnsi="Garamond" w:cs="Arial"/>
          <w:b/>
          <w:sz w:val="24"/>
          <w:szCs w:val="24"/>
          <w:lang w:val="es-MX"/>
        </w:rPr>
      </w:pPr>
      <w:r w:rsidRPr="002B2F8A">
        <w:rPr>
          <w:rFonts w:ascii="Garamond" w:hAnsi="Garamond" w:cs="Arial"/>
          <w:b/>
          <w:sz w:val="24"/>
          <w:szCs w:val="24"/>
          <w:lang w:val="es-MX"/>
        </w:rPr>
        <w:t xml:space="preserve">Práctica </w:t>
      </w:r>
      <w:r>
        <w:rPr>
          <w:rFonts w:ascii="Garamond" w:hAnsi="Garamond" w:cs="Arial"/>
          <w:b/>
          <w:sz w:val="24"/>
          <w:szCs w:val="24"/>
          <w:lang w:val="es-MX"/>
        </w:rPr>
        <w:t>4</w:t>
      </w:r>
      <w:r w:rsidRPr="002B2F8A">
        <w:rPr>
          <w:rFonts w:ascii="Garamond" w:hAnsi="Garamond" w:cs="Arial"/>
          <w:b/>
          <w:sz w:val="24"/>
          <w:szCs w:val="24"/>
          <w:lang w:val="es-MX"/>
        </w:rPr>
        <w:t>. Los Recursos Ambientales</w:t>
      </w:r>
    </w:p>
    <w:p w:rsidR="002B2F8A" w:rsidRPr="002B2F8A" w:rsidRDefault="002B2F8A" w:rsidP="00AC727E">
      <w:pPr>
        <w:spacing w:after="0" w:line="240" w:lineRule="auto"/>
        <w:ind w:left="-567" w:right="-518"/>
        <w:jc w:val="center"/>
        <w:rPr>
          <w:rFonts w:ascii="Garamond" w:hAnsi="Garamond" w:cs="Arial"/>
          <w:sz w:val="24"/>
          <w:szCs w:val="24"/>
          <w:lang w:val="es-MX"/>
        </w:rPr>
      </w:pPr>
      <w:r w:rsidRPr="002B2F8A">
        <w:rPr>
          <w:rFonts w:ascii="Garamond" w:hAnsi="Garamond" w:cs="Arial"/>
          <w:sz w:val="24"/>
          <w:szCs w:val="24"/>
          <w:lang w:val="es-MX"/>
        </w:rPr>
        <w:t>Prof</w:t>
      </w:r>
      <w:r>
        <w:rPr>
          <w:rFonts w:ascii="Garamond" w:hAnsi="Garamond" w:cs="Arial"/>
          <w:sz w:val="24"/>
          <w:szCs w:val="24"/>
          <w:lang w:val="es-MX"/>
        </w:rPr>
        <w:t>a</w:t>
      </w:r>
      <w:r w:rsidRPr="002B2F8A">
        <w:rPr>
          <w:rFonts w:ascii="Garamond" w:hAnsi="Garamond" w:cs="Arial"/>
          <w:sz w:val="24"/>
          <w:szCs w:val="24"/>
          <w:lang w:val="es-MX"/>
        </w:rPr>
        <w:t xml:space="preserve">. </w:t>
      </w:r>
      <w:r>
        <w:rPr>
          <w:rFonts w:ascii="Garamond" w:hAnsi="Garamond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s-MX"/>
        </w:rPr>
        <w:t>Selina</w:t>
      </w:r>
      <w:proofErr w:type="spellEnd"/>
      <w:r>
        <w:rPr>
          <w:rFonts w:ascii="Garamond" w:hAnsi="Garamond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s-MX"/>
        </w:rPr>
        <w:t>Camacaro</w:t>
      </w:r>
      <w:r w:rsidRPr="002B2F8A">
        <w:rPr>
          <w:rFonts w:ascii="Garamond" w:hAnsi="Garamond" w:cs="Arial"/>
          <w:sz w:val="24"/>
          <w:szCs w:val="24"/>
          <w:lang w:val="es-MX"/>
        </w:rPr>
        <w:t>o</w:t>
      </w:r>
      <w:proofErr w:type="spellEnd"/>
    </w:p>
    <w:p w:rsidR="002B2F8A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  <w:lang w:val="es-MX"/>
        </w:rPr>
      </w:pPr>
    </w:p>
    <w:p w:rsidR="002B2F8A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  <w:lang w:val="es-MX"/>
        </w:rPr>
      </w:pPr>
      <w:r w:rsidRPr="002B2F8A">
        <w:rPr>
          <w:rFonts w:ascii="Garamond" w:hAnsi="Garamond" w:cs="Arial"/>
          <w:b/>
          <w:sz w:val="24"/>
          <w:szCs w:val="24"/>
          <w:lang w:val="es-MX"/>
        </w:rPr>
        <w:t>Objetivos</w:t>
      </w:r>
    </w:p>
    <w:p w:rsidR="00000000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s-MX"/>
        </w:rPr>
        <w:t xml:space="preserve">1. </w:t>
      </w:r>
      <w:r w:rsidR="001D2873" w:rsidRPr="002B2F8A">
        <w:rPr>
          <w:rFonts w:ascii="Garamond" w:hAnsi="Garamond" w:cs="Arial"/>
          <w:sz w:val="24"/>
          <w:szCs w:val="24"/>
          <w:lang w:val="es-MX"/>
        </w:rPr>
        <w:t>Identificar los recursos alimenticios involucrados en un sistema de producción animal, su importancia y relaciones</w:t>
      </w:r>
    </w:p>
    <w:p w:rsidR="00000000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s-MX"/>
        </w:rPr>
        <w:t xml:space="preserve">2. </w:t>
      </w:r>
      <w:r w:rsidR="001D2873" w:rsidRPr="002B2F8A">
        <w:rPr>
          <w:rFonts w:ascii="Garamond" w:hAnsi="Garamond" w:cs="Arial"/>
          <w:sz w:val="24"/>
          <w:szCs w:val="24"/>
          <w:lang w:val="es-MX"/>
        </w:rPr>
        <w:t>Adquirir destrezas para determinar expectativas a futuro y cambios deseables en los recursos involucrados en la producción animal</w:t>
      </w:r>
    </w:p>
    <w:p w:rsidR="002B2F8A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</w:rPr>
      </w:pPr>
    </w:p>
    <w:p w:rsidR="002B2F8A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  <w:lang w:val="es-MX"/>
        </w:rPr>
      </w:pPr>
      <w:r w:rsidRPr="002B2F8A">
        <w:rPr>
          <w:rFonts w:ascii="Garamond" w:hAnsi="Garamond" w:cs="Arial"/>
          <w:b/>
          <w:sz w:val="24"/>
          <w:szCs w:val="24"/>
          <w:lang w:val="es-MX"/>
        </w:rPr>
        <w:t>Contenido</w:t>
      </w:r>
    </w:p>
    <w:p w:rsidR="002B2F8A" w:rsidRPr="002B2F8A" w:rsidRDefault="00640DE2" w:rsidP="00AC727E">
      <w:pPr>
        <w:spacing w:after="0" w:line="240" w:lineRule="auto"/>
        <w:ind w:left="-567" w:right="-518"/>
        <w:jc w:val="both"/>
        <w:rPr>
          <w:rFonts w:ascii="Garamond" w:hAnsi="Garamond" w:cs="Arial"/>
          <w:sz w:val="24"/>
          <w:szCs w:val="24"/>
          <w:lang w:val="es-MX"/>
        </w:rPr>
      </w:pPr>
      <w:r>
        <w:rPr>
          <w:rFonts w:ascii="Garamond" w:hAnsi="Garamond" w:cs="Arial"/>
          <w:sz w:val="24"/>
          <w:szCs w:val="24"/>
          <w:lang w:val="es-MX"/>
        </w:rPr>
        <w:t>En Venezuela se producen diferentes rubros alimenticios para humanos y animales, generando en ambos casos residuos de cosecha y su procesamiento residuos agroindustriales que pueden ser utilizados para la alimentación animal, ya que no compiten con el consumo humano. Por otro lado, se han desarrollado</w:t>
      </w:r>
      <w:r w:rsidR="00757E7D">
        <w:rPr>
          <w:rFonts w:ascii="Garamond" w:hAnsi="Garamond" w:cs="Arial"/>
          <w:sz w:val="24"/>
          <w:szCs w:val="24"/>
          <w:lang w:val="es-MX"/>
        </w:rPr>
        <w:t>, principalmente en países desarrollados,</w:t>
      </w:r>
      <w:r>
        <w:rPr>
          <w:rFonts w:ascii="Garamond" w:hAnsi="Garamond" w:cs="Arial"/>
          <w:sz w:val="24"/>
          <w:szCs w:val="24"/>
          <w:lang w:val="es-MX"/>
        </w:rPr>
        <w:t xml:space="preserve"> otras alternativas para el uso de algunos recursos alimenticios </w:t>
      </w:r>
      <w:r w:rsidR="00757E7D">
        <w:rPr>
          <w:rFonts w:ascii="Garamond" w:hAnsi="Garamond" w:cs="Arial"/>
          <w:sz w:val="24"/>
          <w:szCs w:val="24"/>
          <w:lang w:val="es-MX"/>
        </w:rPr>
        <w:t xml:space="preserve">para otros fines. </w:t>
      </w:r>
      <w:r>
        <w:rPr>
          <w:rFonts w:ascii="Garamond" w:hAnsi="Garamond" w:cs="Arial"/>
          <w:sz w:val="24"/>
          <w:szCs w:val="24"/>
          <w:lang w:val="es-MX"/>
        </w:rPr>
        <w:t xml:space="preserve"> </w:t>
      </w:r>
      <w:r w:rsidR="00757E7D">
        <w:rPr>
          <w:rFonts w:ascii="Garamond" w:hAnsi="Garamond" w:cs="Arial"/>
          <w:sz w:val="24"/>
          <w:szCs w:val="24"/>
          <w:lang w:val="es-MX"/>
        </w:rPr>
        <w:t xml:space="preserve">Los usos alternativos más resaltantes son los Biocombustibles y los </w:t>
      </w:r>
      <w:proofErr w:type="spellStart"/>
      <w:r w:rsidR="00757E7D">
        <w:rPr>
          <w:rFonts w:ascii="Garamond" w:hAnsi="Garamond" w:cs="Arial"/>
          <w:sz w:val="24"/>
          <w:szCs w:val="24"/>
          <w:lang w:val="es-MX"/>
        </w:rPr>
        <w:t>Biofarrmacos</w:t>
      </w:r>
      <w:proofErr w:type="spellEnd"/>
      <w:r w:rsidR="00757E7D">
        <w:rPr>
          <w:rFonts w:ascii="Garamond" w:hAnsi="Garamond" w:cs="Arial"/>
          <w:sz w:val="24"/>
          <w:szCs w:val="24"/>
          <w:lang w:val="es-MX"/>
        </w:rPr>
        <w:t xml:space="preserve">. En Venezuela, ninguna de los dos usos alternativos se ha desarrollado, sin embargo, </w:t>
      </w:r>
      <w:r w:rsidR="00B21D30">
        <w:rPr>
          <w:rFonts w:ascii="Garamond" w:hAnsi="Garamond" w:cs="Arial"/>
          <w:sz w:val="24"/>
          <w:szCs w:val="24"/>
          <w:lang w:val="es-MX"/>
        </w:rPr>
        <w:t xml:space="preserve">debería explorarse esa posibilidad, no sin antes hacer un balance de ventajas y desventajas que traerían tales usos alternativos al país entero. </w:t>
      </w:r>
    </w:p>
    <w:p w:rsidR="002B2F8A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  <w:lang w:val="es-MX"/>
        </w:rPr>
      </w:pPr>
    </w:p>
    <w:p w:rsidR="002B2F8A" w:rsidRPr="002B2F8A" w:rsidRDefault="002B2F8A" w:rsidP="00AC727E">
      <w:pPr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  <w:lang w:val="es-MX"/>
        </w:rPr>
      </w:pPr>
      <w:r w:rsidRPr="002B2F8A">
        <w:rPr>
          <w:rFonts w:ascii="Garamond" w:hAnsi="Garamond" w:cs="Arial"/>
          <w:b/>
          <w:sz w:val="24"/>
          <w:szCs w:val="24"/>
          <w:lang w:val="es-MX"/>
        </w:rPr>
        <w:t>Estrategia</w:t>
      </w:r>
      <w:r w:rsidR="00507E67">
        <w:rPr>
          <w:rFonts w:ascii="Garamond" w:hAnsi="Garamond" w:cs="Arial"/>
          <w:b/>
          <w:sz w:val="24"/>
          <w:szCs w:val="24"/>
          <w:lang w:val="es-MX"/>
        </w:rPr>
        <w:t xml:space="preserve"> de Enseñanza</w:t>
      </w:r>
    </w:p>
    <w:p w:rsidR="00A57E59" w:rsidRDefault="00D24F6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s-MX"/>
        </w:rPr>
        <w:t>1.</w:t>
      </w:r>
      <w:r w:rsidR="00BD791A">
        <w:rPr>
          <w:rFonts w:ascii="Garamond" w:hAnsi="Garamond" w:cs="Arial"/>
          <w:sz w:val="24"/>
          <w:szCs w:val="24"/>
          <w:lang w:val="es-MX"/>
        </w:rPr>
        <w:t xml:space="preserve"> Lectura analítica y critica del artículo “</w:t>
      </w:r>
      <w:r w:rsidR="00BD791A" w:rsidRPr="00BD791A">
        <w:rPr>
          <w:rFonts w:ascii="Garamond" w:eastAsiaTheme="minorHAnsi" w:hAnsi="Garamond" w:cs="KabelBkBT"/>
          <w:b/>
          <w:sz w:val="24"/>
          <w:szCs w:val="24"/>
        </w:rPr>
        <w:t>Biocombustibles y cultivos</w:t>
      </w:r>
      <w:r w:rsidR="00BD791A">
        <w:rPr>
          <w:rFonts w:ascii="Garamond" w:eastAsiaTheme="minorHAnsi" w:hAnsi="Garamond" w:cs="KabelBkBT"/>
          <w:b/>
          <w:sz w:val="24"/>
          <w:szCs w:val="24"/>
        </w:rPr>
        <w:t xml:space="preserve"> </w:t>
      </w:r>
      <w:proofErr w:type="spellStart"/>
      <w:r w:rsidR="00BD791A" w:rsidRPr="00BD791A">
        <w:rPr>
          <w:rFonts w:ascii="Garamond" w:eastAsiaTheme="minorHAnsi" w:hAnsi="Garamond" w:cs="KabelBkBT"/>
          <w:b/>
          <w:sz w:val="24"/>
          <w:szCs w:val="24"/>
        </w:rPr>
        <w:t>biofarmacéuticos</w:t>
      </w:r>
      <w:proofErr w:type="spellEnd"/>
      <w:r w:rsidR="00BD791A" w:rsidRPr="00BD791A">
        <w:rPr>
          <w:rFonts w:ascii="Garamond" w:eastAsiaTheme="minorHAnsi" w:hAnsi="Garamond" w:cs="KabelBkBT"/>
          <w:b/>
          <w:sz w:val="24"/>
          <w:szCs w:val="24"/>
        </w:rPr>
        <w:t>:</w:t>
      </w:r>
      <w:r w:rsidR="00BD791A">
        <w:rPr>
          <w:rFonts w:ascii="Garamond" w:eastAsiaTheme="minorHAnsi" w:hAnsi="Garamond" w:cs="KabelBkBT"/>
          <w:b/>
          <w:sz w:val="24"/>
          <w:szCs w:val="24"/>
        </w:rPr>
        <w:t xml:space="preserve"> </w:t>
      </w:r>
      <w:r w:rsidR="00BD791A" w:rsidRPr="00BD791A">
        <w:rPr>
          <w:rFonts w:ascii="Garamond" w:eastAsiaTheme="minorHAnsi" w:hAnsi="Garamond" w:cs="KabelBkBT"/>
          <w:b/>
          <w:sz w:val="24"/>
          <w:szCs w:val="24"/>
        </w:rPr>
        <w:t>¿oportunidades o amenazas?</w:t>
      </w:r>
      <w:r w:rsidR="00BD791A">
        <w:rPr>
          <w:rFonts w:ascii="Garamond" w:eastAsiaTheme="minorHAnsi" w:hAnsi="Garamond" w:cs="KabelBkBT"/>
          <w:b/>
          <w:sz w:val="24"/>
          <w:szCs w:val="24"/>
        </w:rPr>
        <w:t>” (</w:t>
      </w:r>
      <w:proofErr w:type="spellStart"/>
      <w:r w:rsidR="00BD791A">
        <w:rPr>
          <w:rFonts w:ascii="Garamond" w:eastAsiaTheme="minorHAnsi" w:hAnsi="Garamond" w:cs="KabelBkBT"/>
          <w:b/>
          <w:sz w:val="24"/>
          <w:szCs w:val="24"/>
        </w:rPr>
        <w:t>Chauvet</w:t>
      </w:r>
      <w:proofErr w:type="spellEnd"/>
      <w:r w:rsidR="00BD791A">
        <w:rPr>
          <w:rFonts w:ascii="Garamond" w:eastAsiaTheme="minorHAnsi" w:hAnsi="Garamond" w:cs="KabelBkBT"/>
          <w:b/>
          <w:sz w:val="24"/>
          <w:szCs w:val="24"/>
        </w:rPr>
        <w:t xml:space="preserve"> y </w:t>
      </w:r>
      <w:r>
        <w:rPr>
          <w:rFonts w:ascii="Garamond" w:eastAsiaTheme="minorHAnsi" w:hAnsi="Garamond" w:cs="KabelBkBT"/>
          <w:b/>
          <w:sz w:val="24"/>
          <w:szCs w:val="24"/>
        </w:rPr>
        <w:t>González</w:t>
      </w:r>
      <w:r w:rsidR="00BD791A">
        <w:rPr>
          <w:rFonts w:ascii="Garamond" w:eastAsiaTheme="minorHAnsi" w:hAnsi="Garamond" w:cs="KabelBkBT"/>
          <w:b/>
          <w:sz w:val="24"/>
          <w:szCs w:val="24"/>
        </w:rPr>
        <w:t xml:space="preserve">, </w:t>
      </w:r>
      <w:r w:rsidR="00A57E59">
        <w:rPr>
          <w:rFonts w:ascii="Garamond" w:eastAsiaTheme="minorHAnsi" w:hAnsi="Garamond" w:cs="KabelBkBT"/>
          <w:b/>
          <w:sz w:val="24"/>
          <w:szCs w:val="24"/>
        </w:rPr>
        <w:t>2008</w:t>
      </w:r>
      <w:r w:rsidR="00BD791A">
        <w:rPr>
          <w:rFonts w:ascii="Garamond" w:eastAsiaTheme="minorHAnsi" w:hAnsi="Garamond" w:cs="KabelBkBT"/>
          <w:b/>
          <w:sz w:val="24"/>
          <w:szCs w:val="24"/>
        </w:rPr>
        <w:t>)</w:t>
      </w:r>
      <w:r w:rsidR="00A57E59">
        <w:rPr>
          <w:rFonts w:ascii="Garamond" w:eastAsiaTheme="minorHAnsi" w:hAnsi="Garamond" w:cs="KabelBkBT"/>
          <w:b/>
          <w:sz w:val="24"/>
          <w:szCs w:val="24"/>
        </w:rPr>
        <w:t xml:space="preserve">. </w:t>
      </w:r>
      <w:r w:rsidR="00A57E59">
        <w:rPr>
          <w:rFonts w:ascii="Garamond" w:eastAsiaTheme="minorHAnsi" w:hAnsi="Garamond" w:cs="KabelBkBT"/>
          <w:sz w:val="24"/>
          <w:szCs w:val="24"/>
        </w:rPr>
        <w:t xml:space="preserve">El artículo fue escrito por </w:t>
      </w:r>
      <w:proofErr w:type="gramStart"/>
      <w:r w:rsidR="00507E67">
        <w:rPr>
          <w:rFonts w:ascii="Garamond" w:eastAsiaTheme="minorHAnsi" w:hAnsi="Garamond" w:cs="KabelBkBT"/>
          <w:sz w:val="24"/>
          <w:szCs w:val="24"/>
        </w:rPr>
        <w:t>sus autores dirigido</w:t>
      </w:r>
      <w:proofErr w:type="gramEnd"/>
      <w:r w:rsidR="00A57E59">
        <w:rPr>
          <w:rFonts w:ascii="Garamond" w:eastAsiaTheme="minorHAnsi" w:hAnsi="Garamond" w:cs="KabelBkBT"/>
          <w:sz w:val="24"/>
          <w:szCs w:val="24"/>
        </w:rPr>
        <w:t xml:space="preserve"> particularmente a México, sin embargo, dadas las </w:t>
      </w:r>
      <w:r w:rsidR="00A57E59" w:rsidRPr="00A57E59">
        <w:rPr>
          <w:rFonts w:ascii="Garamond" w:eastAsiaTheme="minorHAnsi" w:hAnsi="Garamond" w:cs="KabelBkBT"/>
          <w:sz w:val="24"/>
          <w:szCs w:val="24"/>
        </w:rPr>
        <w:t>similitudes</w:t>
      </w:r>
      <w:r w:rsidR="00BD791A" w:rsidRPr="00A57E59">
        <w:rPr>
          <w:rFonts w:ascii="Garamond" w:eastAsiaTheme="minorHAnsi" w:hAnsi="Garamond" w:cs="KabelBkBT"/>
          <w:sz w:val="24"/>
          <w:szCs w:val="24"/>
        </w:rPr>
        <w:t xml:space="preserve"> </w:t>
      </w:r>
      <w:r w:rsidR="00A57E59" w:rsidRPr="00A57E59">
        <w:rPr>
          <w:rFonts w:ascii="Garamond" w:eastAsiaTheme="minorHAnsi" w:hAnsi="Garamond" w:cs="KabelBkBT"/>
          <w:sz w:val="24"/>
          <w:szCs w:val="24"/>
        </w:rPr>
        <w:t xml:space="preserve">en la economía de ambos países, los estudiantes deberán hacer la lectura y análisis del mismo aplicado al contexto nacional de Venezuela. </w:t>
      </w:r>
      <w:r w:rsidR="00A57E59">
        <w:rPr>
          <w:rFonts w:ascii="Garamond" w:eastAsiaTheme="minorHAnsi" w:hAnsi="Garamond" w:cs="KabelBkBT"/>
          <w:sz w:val="24"/>
          <w:szCs w:val="24"/>
        </w:rPr>
        <w:t xml:space="preserve">Los Profesores también deberán leer el artículo y </w:t>
      </w:r>
      <w:r w:rsidR="00ED12B8">
        <w:rPr>
          <w:rFonts w:ascii="Garamond" w:eastAsiaTheme="minorHAnsi" w:hAnsi="Garamond" w:cs="KabelBkBT"/>
          <w:sz w:val="24"/>
          <w:szCs w:val="24"/>
        </w:rPr>
        <w:t>formular preguntas (el número de preguntas a decisión del docente)</w:t>
      </w:r>
      <w:r>
        <w:rPr>
          <w:rFonts w:ascii="Garamond" w:eastAsiaTheme="minorHAnsi" w:hAnsi="Garamond" w:cs="KabelBkBT"/>
          <w:sz w:val="24"/>
          <w:szCs w:val="24"/>
        </w:rPr>
        <w:t xml:space="preserve"> para aplicar un examen a los estudiantes. La lectura debe ser enviada a los estudiantes con una semana de anticipación, con el propósito de aplicar el examen la semana correspondiente a esta práctica.</w:t>
      </w:r>
    </w:p>
    <w:p w:rsidR="00D24F6E" w:rsidRDefault="00D24F6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>
        <w:rPr>
          <w:rFonts w:ascii="Garamond" w:eastAsiaTheme="minorHAnsi" w:hAnsi="Garamond" w:cs="KabelBkBT"/>
          <w:sz w:val="24"/>
          <w:szCs w:val="24"/>
        </w:rPr>
        <w:t xml:space="preserve">2. </w:t>
      </w:r>
      <w:r w:rsidR="00507E67">
        <w:rPr>
          <w:rFonts w:ascii="Garamond" w:eastAsiaTheme="minorHAnsi" w:hAnsi="Garamond" w:cs="KabelBkBT"/>
          <w:sz w:val="24"/>
          <w:szCs w:val="24"/>
        </w:rPr>
        <w:t>Posteriormente a la aplicación del examen, el docente promoverá un debate entre los estudiantes sobre las respuestas correctas a las preguntas formuladas en el examen.</w:t>
      </w:r>
    </w:p>
    <w:p w:rsidR="00507E67" w:rsidRDefault="00507E67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>
        <w:rPr>
          <w:rFonts w:ascii="Garamond" w:eastAsiaTheme="minorHAnsi" w:hAnsi="Garamond" w:cs="KabelBkBT"/>
          <w:sz w:val="24"/>
          <w:szCs w:val="24"/>
        </w:rPr>
        <w:t>3. Luego del punto anterior</w:t>
      </w:r>
      <w:r w:rsidR="007E5F1C">
        <w:rPr>
          <w:rFonts w:ascii="Garamond" w:eastAsiaTheme="minorHAnsi" w:hAnsi="Garamond" w:cs="KabelBkBT"/>
          <w:sz w:val="24"/>
          <w:szCs w:val="24"/>
        </w:rPr>
        <w:t>, los estudiantes formarán grupos pequeños para realizar una matriz DOFA al tema del artículo leído y evaluado.</w:t>
      </w:r>
      <w:r w:rsidR="001D2873">
        <w:rPr>
          <w:rFonts w:ascii="Garamond" w:eastAsiaTheme="minorHAnsi" w:hAnsi="Garamond" w:cs="KabelBkBT"/>
          <w:sz w:val="24"/>
          <w:szCs w:val="24"/>
        </w:rPr>
        <w:t xml:space="preserve"> Discusión con todo el estudiantado sobre los resultados de las matrices.</w:t>
      </w:r>
    </w:p>
    <w:p w:rsidR="007E5F1C" w:rsidRDefault="007E5F1C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</w:p>
    <w:p w:rsidR="007E5F1C" w:rsidRDefault="007E5F1C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b/>
          <w:sz w:val="24"/>
          <w:szCs w:val="24"/>
        </w:rPr>
      </w:pPr>
      <w:r w:rsidRPr="007E5F1C">
        <w:rPr>
          <w:rFonts w:ascii="Garamond" w:eastAsiaTheme="minorHAnsi" w:hAnsi="Garamond" w:cs="KabelBkBT"/>
          <w:b/>
          <w:sz w:val="24"/>
          <w:szCs w:val="24"/>
        </w:rPr>
        <w:t>Recursos de enseñanza</w:t>
      </w:r>
    </w:p>
    <w:p w:rsidR="007E5F1C" w:rsidRDefault="00AC727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>
        <w:rPr>
          <w:rFonts w:ascii="Garamond" w:eastAsiaTheme="minorHAnsi" w:hAnsi="Garamond" w:cs="KabelBkBT"/>
          <w:sz w:val="24"/>
          <w:szCs w:val="24"/>
        </w:rPr>
        <w:t xml:space="preserve">1. </w:t>
      </w:r>
      <w:r w:rsidR="007E5F1C" w:rsidRPr="00E548A9">
        <w:rPr>
          <w:rFonts w:ascii="Garamond" w:eastAsiaTheme="minorHAnsi" w:hAnsi="Garamond" w:cs="KabelBkBT"/>
          <w:sz w:val="24"/>
          <w:szCs w:val="24"/>
        </w:rPr>
        <w:t xml:space="preserve">Los estudiantes deberán aplicar los conocimientos adquiridos sobre el contexto nacional, en la </w:t>
      </w:r>
      <w:r w:rsidR="00E548A9" w:rsidRPr="00E548A9">
        <w:rPr>
          <w:rFonts w:ascii="Garamond" w:eastAsiaTheme="minorHAnsi" w:hAnsi="Garamond" w:cs="KabelBkBT"/>
          <w:sz w:val="24"/>
          <w:szCs w:val="24"/>
        </w:rPr>
        <w:t>asignatura Programa Director Inicial (Módulos Vegetal y Animal)</w:t>
      </w:r>
      <w:r w:rsidR="00E548A9">
        <w:rPr>
          <w:rFonts w:ascii="Garamond" w:eastAsiaTheme="minorHAnsi" w:hAnsi="Garamond" w:cs="KabelBkBT"/>
          <w:sz w:val="24"/>
          <w:szCs w:val="24"/>
        </w:rPr>
        <w:t>, para el desarrollo de las tres estrategias de Enseñanza.</w:t>
      </w:r>
    </w:p>
    <w:p w:rsidR="00E548A9" w:rsidRDefault="00AC727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>
        <w:rPr>
          <w:rFonts w:ascii="Garamond" w:eastAsiaTheme="minorHAnsi" w:hAnsi="Garamond" w:cs="KabelBkBT"/>
          <w:sz w:val="24"/>
          <w:szCs w:val="24"/>
        </w:rPr>
        <w:t xml:space="preserve">2. Habilidad del docente para promover y dinamizar la discusión y participación estudiantil. </w:t>
      </w:r>
    </w:p>
    <w:p w:rsidR="00AC727E" w:rsidRDefault="00AC727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</w:p>
    <w:p w:rsidR="00AC727E" w:rsidRDefault="00AC727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 w:rsidRPr="00AC727E">
        <w:rPr>
          <w:rFonts w:ascii="Garamond" w:eastAsiaTheme="minorHAnsi" w:hAnsi="Garamond" w:cs="KabelBkBT"/>
          <w:b/>
          <w:sz w:val="24"/>
          <w:szCs w:val="24"/>
        </w:rPr>
        <w:t>Estrategias de Evaluación</w:t>
      </w:r>
    </w:p>
    <w:p w:rsidR="00AC727E" w:rsidRDefault="00AC727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>
        <w:rPr>
          <w:rFonts w:ascii="Garamond" w:eastAsiaTheme="minorHAnsi" w:hAnsi="Garamond" w:cs="KabelBkBT"/>
          <w:sz w:val="24"/>
          <w:szCs w:val="24"/>
        </w:rPr>
        <w:t>1. Examen escrito.</w:t>
      </w:r>
      <w:r w:rsidR="00FE2191">
        <w:rPr>
          <w:rFonts w:ascii="Garamond" w:eastAsiaTheme="minorHAnsi" w:hAnsi="Garamond" w:cs="KabelBkBT"/>
          <w:sz w:val="24"/>
          <w:szCs w:val="24"/>
        </w:rPr>
        <w:t xml:space="preserve"> </w:t>
      </w:r>
    </w:p>
    <w:p w:rsidR="00AC727E" w:rsidRDefault="00AC727E" w:rsidP="00AC727E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eastAsiaTheme="minorHAnsi" w:hAnsi="Garamond" w:cs="KabelBkBT"/>
          <w:sz w:val="24"/>
          <w:szCs w:val="24"/>
        </w:rPr>
      </w:pPr>
      <w:r>
        <w:rPr>
          <w:rFonts w:ascii="Garamond" w:eastAsiaTheme="minorHAnsi" w:hAnsi="Garamond" w:cs="KabelBkBT"/>
          <w:sz w:val="24"/>
          <w:szCs w:val="24"/>
        </w:rPr>
        <w:t xml:space="preserve">2. </w:t>
      </w:r>
      <w:r w:rsidR="00FE2191">
        <w:rPr>
          <w:rFonts w:ascii="Garamond" w:eastAsiaTheme="minorHAnsi" w:hAnsi="Garamond" w:cs="KabelBkBT"/>
          <w:sz w:val="24"/>
          <w:szCs w:val="24"/>
        </w:rPr>
        <w:t>Discusión y debate. El docente deberá cuantificar y ponderar la participación estudiantil.</w:t>
      </w:r>
    </w:p>
    <w:p w:rsidR="002B2F8A" w:rsidRPr="002B2F8A" w:rsidRDefault="00FE2191" w:rsidP="00FE2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eastAsiaTheme="minorHAnsi" w:hAnsi="Garamond" w:cs="KabelBkBT"/>
          <w:sz w:val="24"/>
          <w:szCs w:val="24"/>
        </w:rPr>
        <w:t>3. Evaluación de matriz DOFA</w:t>
      </w:r>
      <w:bookmarkStart w:id="0" w:name="_GoBack"/>
      <w:bookmarkEnd w:id="0"/>
      <w:r>
        <w:rPr>
          <w:rFonts w:ascii="Garamond" w:eastAsiaTheme="minorHAnsi" w:hAnsi="Garamond" w:cs="KabelBkBT"/>
          <w:sz w:val="24"/>
          <w:szCs w:val="24"/>
        </w:rPr>
        <w:t>.</w:t>
      </w:r>
    </w:p>
    <w:p w:rsidR="001A5DC1" w:rsidRPr="002B2F8A" w:rsidRDefault="001A5DC1" w:rsidP="00AC727E">
      <w:pPr>
        <w:ind w:left="-567" w:right="-518"/>
        <w:rPr>
          <w:rFonts w:ascii="Garamond" w:hAnsi="Garamond"/>
          <w:sz w:val="24"/>
          <w:szCs w:val="24"/>
        </w:rPr>
      </w:pPr>
    </w:p>
    <w:sectPr w:rsidR="001A5DC1" w:rsidRPr="002B2F8A" w:rsidSect="00564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1F6"/>
    <w:multiLevelType w:val="hybridMultilevel"/>
    <w:tmpl w:val="87F09F5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94B68"/>
    <w:multiLevelType w:val="hybridMultilevel"/>
    <w:tmpl w:val="2A2C438E"/>
    <w:lvl w:ilvl="0" w:tplc="0F325C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4E6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8D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A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0C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4DD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AC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C0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582F"/>
    <w:multiLevelType w:val="hybridMultilevel"/>
    <w:tmpl w:val="A9A49C1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A"/>
    <w:rsid w:val="001A5DC1"/>
    <w:rsid w:val="001D2873"/>
    <w:rsid w:val="002B2F8A"/>
    <w:rsid w:val="00507E67"/>
    <w:rsid w:val="00640DE2"/>
    <w:rsid w:val="00757E7D"/>
    <w:rsid w:val="007E5F1C"/>
    <w:rsid w:val="00A57E59"/>
    <w:rsid w:val="00AC727E"/>
    <w:rsid w:val="00B21D30"/>
    <w:rsid w:val="00BD791A"/>
    <w:rsid w:val="00D24F6E"/>
    <w:rsid w:val="00E548A9"/>
    <w:rsid w:val="00ED12B8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Camacaro</dc:creator>
  <cp:lastModifiedBy>Selina Camacaro</cp:lastModifiedBy>
  <cp:revision>2</cp:revision>
  <dcterms:created xsi:type="dcterms:W3CDTF">2015-12-07T12:38:00Z</dcterms:created>
  <dcterms:modified xsi:type="dcterms:W3CDTF">2015-12-07T13:25:00Z</dcterms:modified>
</cp:coreProperties>
</file>